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F0" w:rsidRPr="00B676A4" w:rsidRDefault="009B45F0" w:rsidP="009B45F0">
      <w:pPr>
        <w:jc w:val="center"/>
        <w:rPr>
          <w:b/>
          <w:sz w:val="32"/>
          <w:szCs w:val="32"/>
        </w:rPr>
      </w:pPr>
      <w:r w:rsidRPr="00B676A4">
        <w:rPr>
          <w:b/>
          <w:sz w:val="32"/>
          <w:szCs w:val="32"/>
        </w:rPr>
        <w:t>中国科学院寒区旱区环境与工程研究所</w:t>
      </w:r>
    </w:p>
    <w:p w:rsidR="009B45F0" w:rsidRPr="00B676A4" w:rsidRDefault="009B45F0" w:rsidP="009B45F0">
      <w:pPr>
        <w:jc w:val="center"/>
        <w:rPr>
          <w:b/>
          <w:sz w:val="32"/>
          <w:szCs w:val="32"/>
        </w:rPr>
      </w:pPr>
      <w:r w:rsidRPr="00B676A4">
        <w:rPr>
          <w:b/>
          <w:sz w:val="32"/>
          <w:szCs w:val="32"/>
        </w:rPr>
        <w:t>硕士研究生培养方案</w:t>
      </w:r>
    </w:p>
    <w:p w:rsidR="009B45F0" w:rsidRPr="00B676A4" w:rsidRDefault="009B45F0" w:rsidP="009B45F0">
      <w:pPr>
        <w:rPr>
          <w:b/>
        </w:rPr>
      </w:pPr>
    </w:p>
    <w:p w:rsidR="009B45F0" w:rsidRPr="00B676A4" w:rsidRDefault="009B45F0" w:rsidP="009B45F0">
      <w:pPr>
        <w:pStyle w:val="m"/>
        <w:ind w:firstLine="482"/>
      </w:pPr>
      <w:r w:rsidRPr="00B676A4">
        <w:t>为适应创新型国家建设和社会发展对高层次人才的新要求，保证研究生培养质量，遵照《中国科学院研究生院关于修订研究生培养方案的指导意见》，结合本所实际制定本方案。</w:t>
      </w:r>
    </w:p>
    <w:p w:rsidR="009B45F0" w:rsidRPr="00B676A4" w:rsidRDefault="009B45F0" w:rsidP="009B45F0">
      <w:pPr>
        <w:pStyle w:val="m"/>
        <w:spacing w:beforeLines="50" w:before="156" w:afterLines="50" w:after="156"/>
        <w:rPr>
          <w:b/>
          <w:kern w:val="0"/>
        </w:rPr>
      </w:pPr>
      <w:r w:rsidRPr="00B676A4">
        <w:rPr>
          <w:b/>
          <w:kern w:val="0"/>
        </w:rPr>
        <w:t>一、培养目标</w:t>
      </w:r>
    </w:p>
    <w:p w:rsidR="009B45F0" w:rsidRPr="00B676A4" w:rsidRDefault="009B45F0" w:rsidP="009B45F0">
      <w:pPr>
        <w:widowControl/>
        <w:spacing w:line="360" w:lineRule="auto"/>
        <w:ind w:firstLineChars="200" w:firstLine="480"/>
        <w:jc w:val="left"/>
        <w:rPr>
          <w:sz w:val="24"/>
        </w:rPr>
      </w:pPr>
      <w:r w:rsidRPr="00B676A4">
        <w:rPr>
          <w:sz w:val="24"/>
        </w:rPr>
        <w:t>瞄准</w:t>
      </w:r>
      <w:r w:rsidRPr="00B676A4">
        <w:rPr>
          <w:sz w:val="24"/>
        </w:rPr>
        <w:t>21</w:t>
      </w:r>
      <w:r w:rsidRPr="00B676A4">
        <w:rPr>
          <w:sz w:val="24"/>
        </w:rPr>
        <w:t>世纪国家发展战略目标和学科发展前沿，针对国家加快西部地区发展的重大决策和西北地区生态环境建设面临的重大科学问题开展干旱、沙漠、高寒和极地特殊自然条件下环境与工程的基础性、战略性和前瞻性研究，为国家解决西北地区在资源、环境、重大工程和社会经济等领域的重大问题提供科学依据，为西部地区可持续发展提供技术支撑，并在以上领域为国家培养高层次创新人才。具体要求如下：</w:t>
      </w:r>
    </w:p>
    <w:p w:rsidR="009B45F0" w:rsidRPr="00B676A4" w:rsidRDefault="009B45F0" w:rsidP="009B45F0">
      <w:pPr>
        <w:pStyle w:val="m"/>
        <w:ind w:firstLineChars="200" w:firstLine="480"/>
      </w:pPr>
      <w:r w:rsidRPr="00B676A4">
        <w:t>1</w:t>
      </w:r>
      <w:r w:rsidRPr="00B676A4">
        <w:t>、掌握马克思主义</w:t>
      </w:r>
      <w:r w:rsidRPr="00B676A4">
        <w:rPr>
          <w:kern w:val="0"/>
        </w:rPr>
        <w:t>基本理论</w:t>
      </w:r>
      <w:r w:rsidRPr="00B676A4">
        <w:t>、</w:t>
      </w:r>
      <w:r w:rsidRPr="00B676A4">
        <w:rPr>
          <w:kern w:val="0"/>
        </w:rPr>
        <w:t>树立科学的世界观</w:t>
      </w:r>
      <w:r w:rsidRPr="00B676A4">
        <w:t>，坚持党的基本路线，热爱祖国；遵纪守法，品行端正；诚实守信，</w:t>
      </w:r>
      <w:r w:rsidRPr="00B676A4">
        <w:rPr>
          <w:kern w:val="0"/>
        </w:rPr>
        <w:t>学风严谨，团结协作，</w:t>
      </w:r>
      <w:r w:rsidRPr="00B676A4">
        <w:t>具有良好的科研道德和敬业精神。</w:t>
      </w:r>
    </w:p>
    <w:p w:rsidR="009B45F0" w:rsidRPr="00B676A4" w:rsidRDefault="009B45F0" w:rsidP="009B45F0">
      <w:pPr>
        <w:pStyle w:val="m"/>
        <w:ind w:firstLineChars="200" w:firstLine="480"/>
        <w:rPr>
          <w:color w:val="FF0000"/>
        </w:rPr>
      </w:pPr>
      <w:r w:rsidRPr="00B676A4">
        <w:t>2</w:t>
      </w:r>
      <w:r w:rsidRPr="00B676A4">
        <w:t>、在</w:t>
      </w:r>
      <w:r w:rsidRPr="00B676A4">
        <w:rPr>
          <w:bCs/>
        </w:rPr>
        <w:t>本</w:t>
      </w:r>
      <w:r w:rsidRPr="00B676A4">
        <w:t>专业领域内掌握坚实的基础理论和系统的专门知识；具有从事科学研究工作或独立承担专门技术工作的能力。</w:t>
      </w:r>
    </w:p>
    <w:p w:rsidR="009B45F0" w:rsidRPr="00B676A4" w:rsidRDefault="009B45F0" w:rsidP="009B45F0">
      <w:pPr>
        <w:pStyle w:val="m"/>
        <w:ind w:firstLineChars="200" w:firstLine="480"/>
      </w:pPr>
      <w:r w:rsidRPr="00B676A4">
        <w:t>3</w:t>
      </w:r>
      <w:r w:rsidRPr="00B676A4">
        <w:t>、能够熟练运用英语阅读本领域有关文献资料，并能撰写论文摘要，具有良好的英语听说能力。</w:t>
      </w:r>
    </w:p>
    <w:p w:rsidR="009B45F0" w:rsidRPr="00B676A4" w:rsidRDefault="009B45F0" w:rsidP="009B45F0">
      <w:pPr>
        <w:pStyle w:val="m"/>
        <w:ind w:firstLineChars="200" w:firstLine="480"/>
      </w:pPr>
      <w:r w:rsidRPr="00B676A4">
        <w:t>4</w:t>
      </w:r>
      <w:r w:rsidRPr="00B676A4">
        <w:t>、具有健康的体质与良好的心理素质。</w:t>
      </w:r>
    </w:p>
    <w:p w:rsidR="009B45F0" w:rsidRPr="00B676A4" w:rsidRDefault="009B45F0" w:rsidP="009B45F0">
      <w:pPr>
        <w:pStyle w:val="m"/>
        <w:spacing w:beforeLines="50" w:before="156" w:afterLines="50" w:after="156"/>
        <w:rPr>
          <w:b/>
          <w:kern w:val="0"/>
        </w:rPr>
      </w:pPr>
      <w:r w:rsidRPr="00B676A4">
        <w:rPr>
          <w:b/>
          <w:kern w:val="0"/>
        </w:rPr>
        <w:t>二、学科专业及研究方向</w:t>
      </w:r>
    </w:p>
    <w:p w:rsidR="009B45F0" w:rsidRPr="00B676A4" w:rsidRDefault="009B45F0" w:rsidP="009B45F0">
      <w:pPr>
        <w:pStyle w:val="m"/>
        <w:spacing w:afterLines="50" w:after="156"/>
        <w:ind w:firstLine="482"/>
        <w:rPr>
          <w:kern w:val="0"/>
        </w:rPr>
      </w:pPr>
      <w:r w:rsidRPr="00B676A4">
        <w:rPr>
          <w:kern w:val="0"/>
        </w:rPr>
        <w:t>本所在自然地理学、人文地理学、地图学与地理信息系统、气象学、大气物理学与大气环境、生态学、岩土工程、环境工程等学科专业培养硕士研究生，各学科专业及研究方向设置如下：</w:t>
      </w:r>
    </w:p>
    <w:tbl>
      <w:tblPr>
        <w:tblW w:w="0" w:type="auto"/>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4696"/>
      </w:tblGrid>
      <w:tr w:rsidR="009B45F0" w:rsidRPr="00B676A4" w:rsidTr="001772B7">
        <w:trPr>
          <w:trHeight w:val="311"/>
          <w:jc w:val="center"/>
        </w:trPr>
        <w:tc>
          <w:tcPr>
            <w:tcW w:w="2348" w:type="dxa"/>
          </w:tcPr>
          <w:p w:rsidR="009B45F0" w:rsidRPr="00B676A4" w:rsidRDefault="009B45F0" w:rsidP="001772B7">
            <w:pPr>
              <w:pStyle w:val="m"/>
              <w:spacing w:line="240" w:lineRule="auto"/>
              <w:jc w:val="center"/>
              <w:rPr>
                <w:b/>
                <w:sz w:val="21"/>
                <w:szCs w:val="21"/>
              </w:rPr>
            </w:pPr>
            <w:r w:rsidRPr="00B676A4">
              <w:rPr>
                <w:b/>
                <w:sz w:val="21"/>
                <w:szCs w:val="21"/>
              </w:rPr>
              <w:t>学科专业</w:t>
            </w:r>
          </w:p>
        </w:tc>
        <w:tc>
          <w:tcPr>
            <w:tcW w:w="4696" w:type="dxa"/>
          </w:tcPr>
          <w:p w:rsidR="009B45F0" w:rsidRPr="00B676A4" w:rsidRDefault="009B45F0" w:rsidP="001772B7">
            <w:pPr>
              <w:pStyle w:val="m"/>
              <w:spacing w:line="240" w:lineRule="auto"/>
              <w:jc w:val="center"/>
              <w:rPr>
                <w:b/>
                <w:sz w:val="21"/>
                <w:szCs w:val="21"/>
              </w:rPr>
            </w:pPr>
            <w:r w:rsidRPr="00B676A4">
              <w:rPr>
                <w:b/>
                <w:sz w:val="21"/>
                <w:szCs w:val="21"/>
              </w:rPr>
              <w:t>研究方向</w:t>
            </w:r>
          </w:p>
        </w:tc>
      </w:tr>
      <w:tr w:rsidR="009B45F0" w:rsidRPr="00B676A4" w:rsidTr="001772B7">
        <w:trPr>
          <w:trHeight w:val="155"/>
          <w:jc w:val="center"/>
        </w:trPr>
        <w:tc>
          <w:tcPr>
            <w:tcW w:w="2348" w:type="dxa"/>
            <w:vMerge w:val="restart"/>
            <w:vAlign w:val="center"/>
          </w:tcPr>
          <w:p w:rsidR="009B45F0" w:rsidRPr="00B676A4" w:rsidRDefault="009B45F0" w:rsidP="001772B7">
            <w:pPr>
              <w:pStyle w:val="m"/>
              <w:spacing w:line="240" w:lineRule="auto"/>
              <w:rPr>
                <w:b/>
                <w:sz w:val="21"/>
                <w:szCs w:val="21"/>
              </w:rPr>
            </w:pPr>
            <w:r w:rsidRPr="00B676A4">
              <w:rPr>
                <w:b/>
                <w:sz w:val="21"/>
                <w:szCs w:val="21"/>
              </w:rPr>
              <w:t>自然地理学</w:t>
            </w:r>
          </w:p>
        </w:tc>
        <w:tc>
          <w:tcPr>
            <w:tcW w:w="4696" w:type="dxa"/>
          </w:tcPr>
          <w:p w:rsidR="009B45F0" w:rsidRPr="00B676A4" w:rsidRDefault="009B45F0" w:rsidP="001772B7">
            <w:pPr>
              <w:pStyle w:val="m"/>
              <w:spacing w:line="240" w:lineRule="auto"/>
              <w:rPr>
                <w:sz w:val="21"/>
                <w:szCs w:val="21"/>
              </w:rPr>
            </w:pPr>
            <w:r w:rsidRPr="00B676A4">
              <w:rPr>
                <w:bCs/>
                <w:sz w:val="21"/>
                <w:szCs w:val="21"/>
              </w:rPr>
              <w:t>冰川冰芯与全球变化</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寒区环境与全球变化</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冰川资源及其动态监测</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寒旱区水文水资源</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生态水文学</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寒旱区土壤与土地资源</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沙漠化与沙漠环境</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风沙物理与风沙地貌</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治沙工程</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海岸风沙工程</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冻土环境与全球变化</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寒区环境岩土工程</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冻土工程地质</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sz w:val="21"/>
                <w:szCs w:val="21"/>
              </w:rPr>
              <w:t>陆地生态系统与全球变化</w:t>
            </w:r>
          </w:p>
        </w:tc>
      </w:tr>
      <w:tr w:rsidR="009B45F0" w:rsidRPr="00B676A4" w:rsidTr="001772B7">
        <w:trPr>
          <w:trHeight w:val="157"/>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p>
        </w:tc>
      </w:tr>
      <w:tr w:rsidR="009B45F0" w:rsidRPr="00B676A4" w:rsidTr="001772B7">
        <w:trPr>
          <w:trHeight w:val="155"/>
          <w:jc w:val="center"/>
        </w:trPr>
        <w:tc>
          <w:tcPr>
            <w:tcW w:w="2348" w:type="dxa"/>
            <w:vMerge w:val="restart"/>
            <w:vAlign w:val="center"/>
          </w:tcPr>
          <w:p w:rsidR="009B45F0" w:rsidRPr="00B676A4" w:rsidRDefault="009B45F0" w:rsidP="001772B7">
            <w:pPr>
              <w:pStyle w:val="m"/>
              <w:rPr>
                <w:b/>
                <w:sz w:val="21"/>
                <w:szCs w:val="21"/>
              </w:rPr>
            </w:pPr>
            <w:r w:rsidRPr="00B676A4">
              <w:rPr>
                <w:b/>
                <w:sz w:val="21"/>
                <w:szCs w:val="21"/>
              </w:rPr>
              <w:t>人文地理学</w:t>
            </w:r>
          </w:p>
        </w:tc>
        <w:tc>
          <w:tcPr>
            <w:tcW w:w="4696" w:type="dxa"/>
          </w:tcPr>
          <w:p w:rsidR="009B45F0" w:rsidRPr="00B676A4" w:rsidRDefault="009B45F0" w:rsidP="001772B7">
            <w:pPr>
              <w:pStyle w:val="m"/>
              <w:spacing w:line="240" w:lineRule="auto"/>
              <w:rPr>
                <w:sz w:val="21"/>
                <w:szCs w:val="21"/>
              </w:rPr>
            </w:pPr>
            <w:r w:rsidRPr="00B676A4">
              <w:rPr>
                <w:bCs/>
                <w:sz w:val="21"/>
                <w:szCs w:val="21"/>
              </w:rPr>
              <w:t>经济地理</w:t>
            </w:r>
          </w:p>
        </w:tc>
      </w:tr>
      <w:tr w:rsidR="009B45F0" w:rsidRPr="00B676A4" w:rsidTr="001772B7">
        <w:trPr>
          <w:trHeight w:val="155"/>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生态经济</w:t>
            </w:r>
          </w:p>
        </w:tc>
      </w:tr>
      <w:tr w:rsidR="009B45F0" w:rsidRPr="00B676A4" w:rsidTr="001772B7">
        <w:trPr>
          <w:trHeight w:val="156"/>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p>
        </w:tc>
      </w:tr>
      <w:tr w:rsidR="009B45F0" w:rsidRPr="00B676A4" w:rsidTr="001772B7">
        <w:trPr>
          <w:trHeight w:val="155"/>
          <w:jc w:val="center"/>
        </w:trPr>
        <w:tc>
          <w:tcPr>
            <w:tcW w:w="2348" w:type="dxa"/>
            <w:vMerge w:val="restart"/>
            <w:vAlign w:val="center"/>
          </w:tcPr>
          <w:p w:rsidR="009B45F0" w:rsidRPr="00B676A4" w:rsidRDefault="009B45F0" w:rsidP="001772B7">
            <w:pPr>
              <w:pStyle w:val="m"/>
              <w:spacing w:line="240" w:lineRule="auto"/>
              <w:rPr>
                <w:b/>
                <w:sz w:val="21"/>
                <w:szCs w:val="21"/>
              </w:rPr>
            </w:pPr>
            <w:r w:rsidRPr="00B676A4">
              <w:rPr>
                <w:b/>
                <w:sz w:val="21"/>
                <w:szCs w:val="21"/>
              </w:rPr>
              <w:t>地图学与地理信息系统</w:t>
            </w:r>
          </w:p>
        </w:tc>
        <w:tc>
          <w:tcPr>
            <w:tcW w:w="4696" w:type="dxa"/>
          </w:tcPr>
          <w:p w:rsidR="009B45F0" w:rsidRPr="00B676A4" w:rsidRDefault="009B45F0" w:rsidP="001772B7">
            <w:pPr>
              <w:pStyle w:val="m"/>
              <w:spacing w:line="240" w:lineRule="auto"/>
              <w:rPr>
                <w:sz w:val="21"/>
                <w:szCs w:val="21"/>
              </w:rPr>
            </w:pPr>
            <w:r w:rsidRPr="00B676A4">
              <w:rPr>
                <w:bCs/>
                <w:sz w:val="21"/>
                <w:szCs w:val="21"/>
              </w:rPr>
              <w:t>遥感</w:t>
            </w:r>
          </w:p>
        </w:tc>
      </w:tr>
      <w:tr w:rsidR="009B45F0" w:rsidRPr="00B676A4" w:rsidTr="001772B7">
        <w:trPr>
          <w:trHeight w:val="156"/>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地理信息系统</w:t>
            </w:r>
          </w:p>
        </w:tc>
      </w:tr>
      <w:tr w:rsidR="009B45F0" w:rsidRPr="00B676A4" w:rsidTr="001772B7">
        <w:trPr>
          <w:trHeight w:val="156"/>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p>
        </w:tc>
      </w:tr>
      <w:tr w:rsidR="009B45F0" w:rsidRPr="00B676A4" w:rsidTr="001772B7">
        <w:trPr>
          <w:trHeight w:val="156"/>
          <w:jc w:val="center"/>
        </w:trPr>
        <w:tc>
          <w:tcPr>
            <w:tcW w:w="2348" w:type="dxa"/>
            <w:vMerge w:val="restart"/>
            <w:vAlign w:val="center"/>
          </w:tcPr>
          <w:p w:rsidR="009B45F0" w:rsidRPr="00B676A4" w:rsidRDefault="009B45F0" w:rsidP="001772B7">
            <w:pPr>
              <w:pStyle w:val="m"/>
              <w:spacing w:line="240" w:lineRule="auto"/>
              <w:rPr>
                <w:b/>
                <w:sz w:val="21"/>
                <w:szCs w:val="21"/>
              </w:rPr>
            </w:pPr>
            <w:r w:rsidRPr="00B676A4">
              <w:rPr>
                <w:b/>
                <w:sz w:val="21"/>
                <w:szCs w:val="21"/>
              </w:rPr>
              <w:t>气象学</w:t>
            </w:r>
          </w:p>
        </w:tc>
        <w:tc>
          <w:tcPr>
            <w:tcW w:w="4696" w:type="dxa"/>
          </w:tcPr>
          <w:p w:rsidR="009B45F0" w:rsidRPr="00B676A4" w:rsidRDefault="009B45F0" w:rsidP="001772B7">
            <w:pPr>
              <w:pStyle w:val="m"/>
              <w:spacing w:line="240" w:lineRule="auto"/>
              <w:rPr>
                <w:sz w:val="21"/>
                <w:szCs w:val="21"/>
              </w:rPr>
            </w:pPr>
            <w:r w:rsidRPr="00B676A4">
              <w:rPr>
                <w:bCs/>
                <w:sz w:val="21"/>
                <w:szCs w:val="21"/>
              </w:rPr>
              <w:t>区域气候与环境动力学</w:t>
            </w:r>
          </w:p>
        </w:tc>
      </w:tr>
      <w:tr w:rsidR="009B45F0" w:rsidRPr="00B676A4" w:rsidTr="001772B7">
        <w:trPr>
          <w:trHeight w:val="156"/>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灾害性天气与数值模拟</w:t>
            </w:r>
          </w:p>
        </w:tc>
      </w:tr>
      <w:tr w:rsidR="009B45F0" w:rsidRPr="00B676A4" w:rsidTr="001772B7">
        <w:trPr>
          <w:trHeight w:val="156"/>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干旱气候与辐射传输</w:t>
            </w:r>
          </w:p>
        </w:tc>
      </w:tr>
      <w:tr w:rsidR="009B45F0" w:rsidRPr="00B676A4" w:rsidTr="001772B7">
        <w:trPr>
          <w:trHeight w:val="156"/>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气候变化</w:t>
            </w:r>
          </w:p>
        </w:tc>
      </w:tr>
      <w:tr w:rsidR="009B45F0" w:rsidRPr="00B676A4" w:rsidTr="001772B7">
        <w:trPr>
          <w:trHeight w:val="156"/>
          <w:jc w:val="center"/>
        </w:trPr>
        <w:tc>
          <w:tcPr>
            <w:tcW w:w="2348" w:type="dxa"/>
            <w:vMerge/>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p>
        </w:tc>
      </w:tr>
      <w:tr w:rsidR="009B45F0" w:rsidRPr="00B676A4" w:rsidTr="001772B7">
        <w:trPr>
          <w:trHeight w:val="157"/>
          <w:jc w:val="center"/>
        </w:trPr>
        <w:tc>
          <w:tcPr>
            <w:tcW w:w="2348" w:type="dxa"/>
            <w:vMerge w:val="restart"/>
            <w:shd w:val="clear" w:color="auto" w:fill="auto"/>
            <w:vAlign w:val="center"/>
          </w:tcPr>
          <w:p w:rsidR="009B45F0" w:rsidRPr="00B676A4" w:rsidRDefault="009B45F0" w:rsidP="001772B7">
            <w:pPr>
              <w:pStyle w:val="m"/>
              <w:spacing w:line="240" w:lineRule="auto"/>
              <w:rPr>
                <w:b/>
                <w:sz w:val="21"/>
                <w:szCs w:val="21"/>
              </w:rPr>
            </w:pPr>
            <w:r w:rsidRPr="00B676A4">
              <w:rPr>
                <w:b/>
                <w:sz w:val="21"/>
                <w:szCs w:val="21"/>
              </w:rPr>
              <w:t>大气物理学与大气环境</w:t>
            </w:r>
          </w:p>
        </w:tc>
        <w:tc>
          <w:tcPr>
            <w:tcW w:w="4696" w:type="dxa"/>
          </w:tcPr>
          <w:p w:rsidR="009B45F0" w:rsidRPr="00B676A4" w:rsidRDefault="009B45F0" w:rsidP="001772B7">
            <w:pPr>
              <w:pStyle w:val="m"/>
              <w:spacing w:line="240" w:lineRule="auto"/>
              <w:rPr>
                <w:bCs/>
                <w:sz w:val="21"/>
                <w:szCs w:val="21"/>
              </w:rPr>
            </w:pPr>
            <w:r w:rsidRPr="00B676A4">
              <w:rPr>
                <w:bCs/>
                <w:sz w:val="21"/>
                <w:szCs w:val="21"/>
              </w:rPr>
              <w:t>陆面过程</w:t>
            </w:r>
          </w:p>
        </w:tc>
      </w:tr>
      <w:tr w:rsidR="009B45F0" w:rsidRPr="00B676A4" w:rsidTr="001772B7">
        <w:trPr>
          <w:trHeight w:val="157"/>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bCs/>
                <w:sz w:val="21"/>
                <w:szCs w:val="21"/>
              </w:rPr>
            </w:pPr>
            <w:r w:rsidRPr="00B676A4">
              <w:rPr>
                <w:sz w:val="21"/>
                <w:szCs w:val="21"/>
              </w:rPr>
              <w:t>边界层物理与卫星遥感</w:t>
            </w:r>
          </w:p>
        </w:tc>
      </w:tr>
      <w:tr w:rsidR="009B45F0" w:rsidRPr="00B676A4" w:rsidTr="001772B7">
        <w:trPr>
          <w:trHeight w:val="157"/>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bCs/>
                <w:sz w:val="21"/>
                <w:szCs w:val="21"/>
              </w:rPr>
            </w:pPr>
            <w:r w:rsidRPr="00B676A4">
              <w:rPr>
                <w:sz w:val="21"/>
                <w:szCs w:val="21"/>
              </w:rPr>
              <w:t>大气环境</w:t>
            </w:r>
          </w:p>
        </w:tc>
      </w:tr>
      <w:tr w:rsidR="009B45F0" w:rsidRPr="00B676A4" w:rsidTr="001772B7">
        <w:trPr>
          <w:trHeight w:val="157"/>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bCs/>
                <w:sz w:val="21"/>
                <w:szCs w:val="21"/>
              </w:rPr>
            </w:pPr>
            <w:r w:rsidRPr="00B676A4">
              <w:rPr>
                <w:sz w:val="21"/>
                <w:szCs w:val="21"/>
              </w:rPr>
              <w:t>雷电物理雷电雷暴</w:t>
            </w:r>
          </w:p>
        </w:tc>
      </w:tr>
      <w:tr w:rsidR="009B45F0" w:rsidRPr="00B676A4" w:rsidTr="001772B7">
        <w:trPr>
          <w:trHeight w:val="157"/>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p>
        </w:tc>
      </w:tr>
      <w:tr w:rsidR="009B45F0" w:rsidRPr="00B676A4" w:rsidTr="001772B7">
        <w:trPr>
          <w:trHeight w:val="157"/>
          <w:jc w:val="center"/>
        </w:trPr>
        <w:tc>
          <w:tcPr>
            <w:tcW w:w="2348" w:type="dxa"/>
            <w:vMerge w:val="restart"/>
            <w:shd w:val="clear" w:color="auto" w:fill="auto"/>
            <w:vAlign w:val="center"/>
          </w:tcPr>
          <w:p w:rsidR="009B45F0" w:rsidRPr="00B676A4" w:rsidRDefault="009B45F0" w:rsidP="001772B7">
            <w:pPr>
              <w:pStyle w:val="m"/>
              <w:spacing w:line="240" w:lineRule="auto"/>
              <w:rPr>
                <w:b/>
                <w:sz w:val="21"/>
                <w:szCs w:val="21"/>
              </w:rPr>
            </w:pPr>
            <w:r w:rsidRPr="00B676A4">
              <w:rPr>
                <w:b/>
                <w:sz w:val="21"/>
                <w:szCs w:val="21"/>
              </w:rPr>
              <w:t>生态学</w:t>
            </w:r>
          </w:p>
        </w:tc>
        <w:tc>
          <w:tcPr>
            <w:tcW w:w="4696" w:type="dxa"/>
          </w:tcPr>
          <w:p w:rsidR="009B45F0" w:rsidRPr="00B676A4" w:rsidRDefault="009B45F0" w:rsidP="001772B7">
            <w:pPr>
              <w:pStyle w:val="m"/>
              <w:spacing w:line="240" w:lineRule="auto"/>
              <w:rPr>
                <w:sz w:val="21"/>
                <w:szCs w:val="21"/>
              </w:rPr>
            </w:pPr>
            <w:r w:rsidRPr="00B676A4">
              <w:rPr>
                <w:bCs/>
                <w:sz w:val="21"/>
                <w:szCs w:val="21"/>
              </w:rPr>
              <w:t>生态学</w:t>
            </w:r>
          </w:p>
        </w:tc>
      </w:tr>
      <w:tr w:rsidR="009B45F0" w:rsidRPr="00B676A4" w:rsidTr="001772B7">
        <w:trPr>
          <w:trHeight w:val="157"/>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生态农业</w:t>
            </w:r>
          </w:p>
        </w:tc>
      </w:tr>
      <w:tr w:rsidR="009B45F0" w:rsidRPr="00B676A4" w:rsidTr="001772B7">
        <w:trPr>
          <w:trHeight w:val="157"/>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干旱区生态与环境</w:t>
            </w:r>
          </w:p>
        </w:tc>
      </w:tr>
      <w:tr w:rsidR="009B45F0" w:rsidRPr="00B676A4" w:rsidTr="001772B7">
        <w:trPr>
          <w:trHeight w:val="157"/>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植物基因工程</w:t>
            </w:r>
          </w:p>
        </w:tc>
      </w:tr>
      <w:tr w:rsidR="009B45F0" w:rsidRPr="00B676A4" w:rsidTr="001772B7">
        <w:trPr>
          <w:trHeight w:val="157"/>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sz w:val="21"/>
                <w:szCs w:val="21"/>
              </w:rPr>
              <w:t>土壤生态学</w:t>
            </w:r>
          </w:p>
        </w:tc>
      </w:tr>
      <w:tr w:rsidR="009B45F0" w:rsidRPr="00B676A4" w:rsidTr="001772B7">
        <w:trPr>
          <w:trHeight w:val="157"/>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p>
        </w:tc>
      </w:tr>
      <w:tr w:rsidR="009B45F0" w:rsidRPr="00B676A4" w:rsidTr="001772B7">
        <w:trPr>
          <w:trHeight w:val="143"/>
          <w:jc w:val="center"/>
        </w:trPr>
        <w:tc>
          <w:tcPr>
            <w:tcW w:w="2348" w:type="dxa"/>
            <w:vMerge w:val="restart"/>
            <w:shd w:val="clear" w:color="auto" w:fill="auto"/>
            <w:vAlign w:val="center"/>
          </w:tcPr>
          <w:p w:rsidR="009B45F0" w:rsidRPr="00B676A4" w:rsidRDefault="009B45F0" w:rsidP="001772B7">
            <w:pPr>
              <w:pStyle w:val="m"/>
              <w:spacing w:line="240" w:lineRule="auto"/>
              <w:rPr>
                <w:b/>
                <w:sz w:val="21"/>
                <w:szCs w:val="21"/>
              </w:rPr>
            </w:pPr>
            <w:r w:rsidRPr="00B676A4">
              <w:rPr>
                <w:b/>
                <w:sz w:val="21"/>
                <w:szCs w:val="21"/>
              </w:rPr>
              <w:t>岩土工程</w:t>
            </w:r>
          </w:p>
        </w:tc>
        <w:tc>
          <w:tcPr>
            <w:tcW w:w="4696" w:type="dxa"/>
          </w:tcPr>
          <w:p w:rsidR="009B45F0" w:rsidRPr="00B676A4" w:rsidRDefault="009B45F0" w:rsidP="001772B7">
            <w:pPr>
              <w:pStyle w:val="m"/>
              <w:spacing w:line="240" w:lineRule="auto"/>
              <w:rPr>
                <w:sz w:val="21"/>
                <w:szCs w:val="21"/>
              </w:rPr>
            </w:pPr>
            <w:r w:rsidRPr="00B676A4">
              <w:rPr>
                <w:bCs/>
                <w:sz w:val="21"/>
                <w:szCs w:val="21"/>
              </w:rPr>
              <w:t>冻土物理与冻土工程</w:t>
            </w:r>
          </w:p>
        </w:tc>
      </w:tr>
      <w:tr w:rsidR="009B45F0" w:rsidRPr="00B676A4" w:rsidTr="001772B7">
        <w:trPr>
          <w:trHeight w:val="143"/>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冻土力学与寒区工程</w:t>
            </w:r>
          </w:p>
        </w:tc>
      </w:tr>
      <w:tr w:rsidR="009B45F0" w:rsidRPr="00B676A4" w:rsidTr="001772B7">
        <w:trPr>
          <w:trHeight w:val="143"/>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寒区岩土工程数值方法</w:t>
            </w:r>
          </w:p>
        </w:tc>
      </w:tr>
      <w:tr w:rsidR="009B45F0" w:rsidRPr="00B676A4" w:rsidTr="001772B7">
        <w:trPr>
          <w:trHeight w:val="143"/>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岩土力学</w:t>
            </w:r>
          </w:p>
        </w:tc>
      </w:tr>
      <w:tr w:rsidR="009B45F0" w:rsidRPr="00B676A4" w:rsidTr="001772B7">
        <w:trPr>
          <w:trHeight w:val="143"/>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r w:rsidRPr="00B676A4">
              <w:rPr>
                <w:bCs/>
                <w:sz w:val="21"/>
                <w:szCs w:val="21"/>
              </w:rPr>
              <w:t>寒区岩土测试技术</w:t>
            </w:r>
          </w:p>
        </w:tc>
      </w:tr>
      <w:tr w:rsidR="009B45F0" w:rsidRPr="00B676A4" w:rsidTr="001772B7">
        <w:trPr>
          <w:trHeight w:val="143"/>
          <w:jc w:val="center"/>
        </w:trPr>
        <w:tc>
          <w:tcPr>
            <w:tcW w:w="2348" w:type="dxa"/>
            <w:vMerge/>
            <w:shd w:val="clear" w:color="auto" w:fill="auto"/>
            <w:vAlign w:val="center"/>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sz w:val="21"/>
                <w:szCs w:val="21"/>
              </w:rPr>
            </w:pPr>
          </w:p>
        </w:tc>
      </w:tr>
      <w:tr w:rsidR="009B45F0" w:rsidRPr="00B676A4" w:rsidTr="001772B7">
        <w:trPr>
          <w:trHeight w:val="143"/>
          <w:jc w:val="center"/>
        </w:trPr>
        <w:tc>
          <w:tcPr>
            <w:tcW w:w="2348" w:type="dxa"/>
            <w:vMerge w:val="restart"/>
            <w:shd w:val="clear" w:color="auto" w:fill="auto"/>
            <w:vAlign w:val="center"/>
          </w:tcPr>
          <w:p w:rsidR="009B45F0" w:rsidRPr="00B676A4" w:rsidRDefault="009B45F0" w:rsidP="001772B7">
            <w:pPr>
              <w:pStyle w:val="m"/>
              <w:rPr>
                <w:b/>
                <w:sz w:val="21"/>
                <w:szCs w:val="21"/>
              </w:rPr>
            </w:pPr>
            <w:r w:rsidRPr="00B676A4">
              <w:rPr>
                <w:b/>
                <w:sz w:val="21"/>
                <w:szCs w:val="21"/>
              </w:rPr>
              <w:t>环境工程</w:t>
            </w:r>
          </w:p>
        </w:tc>
        <w:tc>
          <w:tcPr>
            <w:tcW w:w="4696" w:type="dxa"/>
          </w:tcPr>
          <w:p w:rsidR="009B45F0" w:rsidRPr="00B676A4" w:rsidRDefault="009B45F0" w:rsidP="001772B7">
            <w:pPr>
              <w:pStyle w:val="m"/>
              <w:spacing w:line="240" w:lineRule="auto"/>
              <w:rPr>
                <w:sz w:val="21"/>
                <w:szCs w:val="21"/>
              </w:rPr>
            </w:pPr>
            <w:r w:rsidRPr="00B676A4">
              <w:rPr>
                <w:sz w:val="21"/>
                <w:szCs w:val="21"/>
              </w:rPr>
              <w:t>寒旱区环境与生态过程</w:t>
            </w:r>
          </w:p>
        </w:tc>
      </w:tr>
      <w:tr w:rsidR="009B45F0" w:rsidRPr="00B676A4" w:rsidTr="001772B7">
        <w:trPr>
          <w:trHeight w:val="143"/>
          <w:jc w:val="center"/>
        </w:trPr>
        <w:tc>
          <w:tcPr>
            <w:tcW w:w="2348" w:type="dxa"/>
            <w:vMerge/>
            <w:shd w:val="clear" w:color="auto" w:fill="auto"/>
          </w:tcPr>
          <w:p w:rsidR="009B45F0" w:rsidRPr="00B676A4" w:rsidRDefault="009B45F0" w:rsidP="001772B7">
            <w:pPr>
              <w:pStyle w:val="m"/>
              <w:rPr>
                <w:sz w:val="21"/>
                <w:szCs w:val="21"/>
              </w:rPr>
            </w:pPr>
          </w:p>
        </w:tc>
        <w:tc>
          <w:tcPr>
            <w:tcW w:w="4696" w:type="dxa"/>
          </w:tcPr>
          <w:p w:rsidR="009B45F0" w:rsidRPr="00B676A4" w:rsidRDefault="009B45F0" w:rsidP="001772B7">
            <w:pPr>
              <w:pStyle w:val="m"/>
              <w:spacing w:line="240" w:lineRule="auto"/>
              <w:rPr>
                <w:sz w:val="21"/>
                <w:szCs w:val="21"/>
              </w:rPr>
            </w:pPr>
            <w:r w:rsidRPr="00B676A4">
              <w:rPr>
                <w:sz w:val="21"/>
                <w:szCs w:val="21"/>
              </w:rPr>
              <w:t>寒旱区生态资源持续利用与适应性管理</w:t>
            </w:r>
          </w:p>
        </w:tc>
      </w:tr>
      <w:tr w:rsidR="009B45F0" w:rsidRPr="00B676A4" w:rsidTr="001772B7">
        <w:trPr>
          <w:trHeight w:val="143"/>
          <w:jc w:val="center"/>
        </w:trPr>
        <w:tc>
          <w:tcPr>
            <w:tcW w:w="2348" w:type="dxa"/>
            <w:vMerge/>
            <w:shd w:val="clear" w:color="auto" w:fill="auto"/>
          </w:tcPr>
          <w:p w:rsidR="009B45F0" w:rsidRPr="00B676A4" w:rsidRDefault="009B45F0" w:rsidP="001772B7">
            <w:pPr>
              <w:pStyle w:val="m"/>
              <w:rPr>
                <w:sz w:val="21"/>
                <w:szCs w:val="21"/>
              </w:rPr>
            </w:pPr>
          </w:p>
        </w:tc>
        <w:tc>
          <w:tcPr>
            <w:tcW w:w="4696" w:type="dxa"/>
          </w:tcPr>
          <w:p w:rsidR="009B45F0" w:rsidRPr="00B676A4" w:rsidRDefault="009B45F0" w:rsidP="001772B7">
            <w:pPr>
              <w:pStyle w:val="m"/>
              <w:spacing w:line="240" w:lineRule="auto"/>
              <w:rPr>
                <w:sz w:val="21"/>
                <w:szCs w:val="21"/>
              </w:rPr>
            </w:pPr>
            <w:r w:rsidRPr="00B676A4">
              <w:rPr>
                <w:sz w:val="21"/>
                <w:szCs w:val="21"/>
              </w:rPr>
              <w:t>寒旱区生态工程技术与原理</w:t>
            </w:r>
          </w:p>
        </w:tc>
      </w:tr>
      <w:tr w:rsidR="009B45F0" w:rsidRPr="00B676A4" w:rsidTr="001772B7">
        <w:trPr>
          <w:trHeight w:val="143"/>
          <w:jc w:val="center"/>
        </w:trPr>
        <w:tc>
          <w:tcPr>
            <w:tcW w:w="2348" w:type="dxa"/>
            <w:vMerge/>
            <w:shd w:val="clear" w:color="auto" w:fill="auto"/>
          </w:tcPr>
          <w:p w:rsidR="009B45F0" w:rsidRPr="00B676A4" w:rsidRDefault="009B45F0" w:rsidP="001772B7">
            <w:pPr>
              <w:pStyle w:val="m"/>
              <w:rPr>
                <w:sz w:val="21"/>
                <w:szCs w:val="21"/>
              </w:rPr>
            </w:pPr>
          </w:p>
        </w:tc>
        <w:tc>
          <w:tcPr>
            <w:tcW w:w="4696" w:type="dxa"/>
          </w:tcPr>
          <w:p w:rsidR="009B45F0" w:rsidRPr="00B676A4" w:rsidRDefault="009B45F0" w:rsidP="001772B7">
            <w:pPr>
              <w:pStyle w:val="m"/>
              <w:spacing w:line="240" w:lineRule="auto"/>
              <w:rPr>
                <w:sz w:val="21"/>
                <w:szCs w:val="21"/>
              </w:rPr>
            </w:pPr>
            <w:r w:rsidRPr="00B676A4">
              <w:rPr>
                <w:sz w:val="21"/>
                <w:szCs w:val="21"/>
              </w:rPr>
              <w:t>环境评价</w:t>
            </w:r>
          </w:p>
        </w:tc>
      </w:tr>
      <w:tr w:rsidR="009B45F0" w:rsidRPr="00B676A4" w:rsidTr="001772B7">
        <w:trPr>
          <w:trHeight w:val="143"/>
          <w:jc w:val="center"/>
        </w:trPr>
        <w:tc>
          <w:tcPr>
            <w:tcW w:w="2348" w:type="dxa"/>
            <w:vMerge/>
            <w:shd w:val="clear" w:color="auto" w:fill="auto"/>
          </w:tcPr>
          <w:p w:rsidR="009B45F0" w:rsidRPr="00B676A4" w:rsidRDefault="009B45F0" w:rsidP="001772B7">
            <w:pPr>
              <w:pStyle w:val="m"/>
              <w:rPr>
                <w:sz w:val="21"/>
                <w:szCs w:val="21"/>
              </w:rPr>
            </w:pPr>
          </w:p>
        </w:tc>
        <w:tc>
          <w:tcPr>
            <w:tcW w:w="4696" w:type="dxa"/>
          </w:tcPr>
          <w:p w:rsidR="009B45F0" w:rsidRPr="00B676A4" w:rsidRDefault="009B45F0" w:rsidP="001772B7">
            <w:pPr>
              <w:pStyle w:val="m"/>
              <w:spacing w:line="240" w:lineRule="auto"/>
              <w:rPr>
                <w:sz w:val="21"/>
                <w:szCs w:val="21"/>
              </w:rPr>
            </w:pPr>
            <w:r w:rsidRPr="00B676A4">
              <w:rPr>
                <w:rFonts w:hAnsi="Arial"/>
                <w:spacing w:val="8"/>
                <w:sz w:val="21"/>
                <w:szCs w:val="21"/>
              </w:rPr>
              <w:t>生物技术</w:t>
            </w:r>
          </w:p>
        </w:tc>
      </w:tr>
      <w:tr w:rsidR="009B45F0" w:rsidRPr="00B676A4" w:rsidTr="001772B7">
        <w:trPr>
          <w:trHeight w:val="143"/>
          <w:jc w:val="center"/>
        </w:trPr>
        <w:tc>
          <w:tcPr>
            <w:tcW w:w="2348" w:type="dxa"/>
            <w:vMerge/>
            <w:shd w:val="clear" w:color="auto" w:fill="auto"/>
          </w:tcPr>
          <w:p w:rsidR="009B45F0" w:rsidRPr="00B676A4" w:rsidRDefault="009B45F0" w:rsidP="001772B7">
            <w:pPr>
              <w:pStyle w:val="m"/>
              <w:rPr>
                <w:sz w:val="21"/>
                <w:szCs w:val="21"/>
              </w:rPr>
            </w:pPr>
          </w:p>
        </w:tc>
        <w:tc>
          <w:tcPr>
            <w:tcW w:w="4696" w:type="dxa"/>
          </w:tcPr>
          <w:p w:rsidR="009B45F0" w:rsidRPr="00B676A4" w:rsidRDefault="009B45F0" w:rsidP="001772B7">
            <w:pPr>
              <w:pStyle w:val="m"/>
              <w:spacing w:line="240" w:lineRule="auto"/>
              <w:rPr>
                <w:sz w:val="21"/>
                <w:szCs w:val="21"/>
              </w:rPr>
            </w:pPr>
            <w:r w:rsidRPr="00B676A4">
              <w:rPr>
                <w:sz w:val="21"/>
                <w:szCs w:val="21"/>
              </w:rPr>
              <w:t>大气污染控制</w:t>
            </w:r>
          </w:p>
        </w:tc>
      </w:tr>
      <w:tr w:rsidR="009B45F0" w:rsidRPr="00B676A4" w:rsidTr="001772B7">
        <w:trPr>
          <w:trHeight w:val="143"/>
          <w:jc w:val="center"/>
        </w:trPr>
        <w:tc>
          <w:tcPr>
            <w:tcW w:w="2348" w:type="dxa"/>
            <w:vMerge/>
            <w:shd w:val="clear" w:color="auto" w:fill="auto"/>
          </w:tcPr>
          <w:p w:rsidR="009B45F0" w:rsidRPr="00B676A4" w:rsidRDefault="009B45F0" w:rsidP="001772B7">
            <w:pPr>
              <w:pStyle w:val="m"/>
              <w:spacing w:line="240" w:lineRule="auto"/>
              <w:rPr>
                <w:b/>
                <w:sz w:val="21"/>
                <w:szCs w:val="21"/>
              </w:rPr>
            </w:pPr>
          </w:p>
        </w:tc>
        <w:tc>
          <w:tcPr>
            <w:tcW w:w="4696" w:type="dxa"/>
          </w:tcPr>
          <w:p w:rsidR="009B45F0" w:rsidRPr="00B676A4" w:rsidRDefault="009B45F0" w:rsidP="001772B7">
            <w:pPr>
              <w:pStyle w:val="m"/>
              <w:spacing w:line="240" w:lineRule="auto"/>
              <w:rPr>
                <w:b/>
                <w:color w:val="808000"/>
                <w:spacing w:val="8"/>
                <w:sz w:val="21"/>
                <w:szCs w:val="21"/>
              </w:rPr>
            </w:pPr>
          </w:p>
        </w:tc>
      </w:tr>
    </w:tbl>
    <w:p w:rsidR="009B45F0" w:rsidRPr="00B676A4" w:rsidRDefault="009B45F0" w:rsidP="009B45F0">
      <w:pPr>
        <w:pStyle w:val="m"/>
        <w:spacing w:beforeLines="50" w:before="156" w:afterLines="50" w:after="156"/>
        <w:rPr>
          <w:b/>
          <w:kern w:val="0"/>
        </w:rPr>
      </w:pPr>
      <w:r w:rsidRPr="00B676A4">
        <w:rPr>
          <w:b/>
          <w:kern w:val="0"/>
        </w:rPr>
        <w:t>三、培养方式及学习年限</w:t>
      </w:r>
    </w:p>
    <w:p w:rsidR="009B45F0" w:rsidRPr="00B676A4" w:rsidRDefault="009B45F0" w:rsidP="009B45F0">
      <w:pPr>
        <w:pStyle w:val="m"/>
      </w:pPr>
      <w:r w:rsidRPr="00B676A4">
        <w:rPr>
          <w:kern w:val="0"/>
        </w:rPr>
        <w:t xml:space="preserve">　　</w:t>
      </w:r>
      <w:r w:rsidRPr="00B676A4">
        <w:t>硕士研究生培养采取</w:t>
      </w:r>
      <w:r w:rsidRPr="00B676A4">
        <w:t>“</w:t>
      </w:r>
      <w:r w:rsidRPr="00B676A4">
        <w:t>两段式</w:t>
      </w:r>
      <w:r w:rsidRPr="00B676A4">
        <w:t>”</w:t>
      </w:r>
      <w:r w:rsidRPr="00B676A4">
        <w:t>的培养模式，包括课程学习和科研实践两个阶段；实行导师或导师小组负责制。导师或导师小组负责指导研究生科研工作，关心研究生政治思想品德，并在严谨治学、科研道德和团结协作等方面对研究生严格要求，配合、协助研究生教育管理部门做好研究生的各项管理工作。</w:t>
      </w:r>
    </w:p>
    <w:p w:rsidR="009B45F0" w:rsidRPr="00B676A4" w:rsidRDefault="009B45F0" w:rsidP="009B45F0">
      <w:pPr>
        <w:spacing w:line="360" w:lineRule="auto"/>
        <w:ind w:firstLineChars="200" w:firstLine="480"/>
        <w:rPr>
          <w:sz w:val="24"/>
        </w:rPr>
      </w:pPr>
      <w:r w:rsidRPr="00B676A4">
        <w:rPr>
          <w:sz w:val="24"/>
        </w:rPr>
        <w:t>硕士研究生入学后第一年在研究生院北京教学园区集中参加课程学习。</w:t>
      </w:r>
    </w:p>
    <w:p w:rsidR="009B45F0" w:rsidRPr="00B676A4" w:rsidRDefault="009B45F0" w:rsidP="009B45F0">
      <w:pPr>
        <w:spacing w:line="360" w:lineRule="auto"/>
        <w:ind w:firstLineChars="200" w:firstLine="480"/>
        <w:rPr>
          <w:sz w:val="24"/>
        </w:rPr>
      </w:pPr>
      <w:r w:rsidRPr="00B676A4">
        <w:rPr>
          <w:sz w:val="24"/>
        </w:rPr>
        <w:t>硕士研究生从入学后第二年开始进入导师所在的研究室，依托导师所在单位的科研项目、科研条件和科研设施，进行科研实践和开展学位论文工作（完成必修环节要求），培养研究生科学研究能力或独立承担专门技术工作能力。</w:t>
      </w:r>
    </w:p>
    <w:p w:rsidR="009B45F0" w:rsidRPr="00B676A4" w:rsidRDefault="009B45F0" w:rsidP="009B45F0">
      <w:pPr>
        <w:pStyle w:val="m"/>
        <w:ind w:firstLine="480"/>
        <w:rPr>
          <w:kern w:val="0"/>
        </w:rPr>
      </w:pPr>
      <w:r w:rsidRPr="00B676A4">
        <w:rPr>
          <w:kern w:val="0"/>
        </w:rPr>
        <w:t>实行基本学制基础上的弹性学制，硕士研究生基本学习年限一般为</w:t>
      </w:r>
      <w:r w:rsidRPr="00B676A4">
        <w:rPr>
          <w:kern w:val="0"/>
        </w:rPr>
        <w:t>3</w:t>
      </w:r>
      <w:r w:rsidRPr="00B676A4">
        <w:rPr>
          <w:kern w:val="0"/>
        </w:rPr>
        <w:t>年，最长学习年限（含休学）不得超过</w:t>
      </w:r>
      <w:r w:rsidRPr="00B676A4">
        <w:rPr>
          <w:kern w:val="0"/>
        </w:rPr>
        <w:t>4</w:t>
      </w:r>
      <w:r w:rsidRPr="00B676A4">
        <w:rPr>
          <w:kern w:val="0"/>
        </w:rPr>
        <w:t>年。</w:t>
      </w:r>
    </w:p>
    <w:p w:rsidR="009B45F0" w:rsidRPr="00B676A4" w:rsidRDefault="009B45F0" w:rsidP="009B45F0">
      <w:pPr>
        <w:pStyle w:val="m"/>
        <w:spacing w:beforeLines="50" w:before="156" w:afterLines="50" w:after="156"/>
        <w:rPr>
          <w:b/>
          <w:kern w:val="0"/>
        </w:rPr>
      </w:pPr>
      <w:r w:rsidRPr="00B676A4">
        <w:rPr>
          <w:b/>
          <w:kern w:val="0"/>
        </w:rPr>
        <w:t>四、课程体系及学分要求</w:t>
      </w:r>
    </w:p>
    <w:p w:rsidR="009B45F0" w:rsidRPr="00B676A4" w:rsidRDefault="009B45F0" w:rsidP="009B45F0">
      <w:pPr>
        <w:spacing w:line="480" w:lineRule="exact"/>
        <w:ind w:firstLineChars="200" w:firstLine="480"/>
        <w:rPr>
          <w:sz w:val="24"/>
        </w:rPr>
      </w:pPr>
      <w:r w:rsidRPr="00B676A4">
        <w:rPr>
          <w:sz w:val="24"/>
        </w:rPr>
        <w:t>研究生课程学习实行学分制管理。研究生获得学位所需的学分，由课程学习学分和必修环节学分两部分组成，二者不能相互替代。</w:t>
      </w:r>
    </w:p>
    <w:p w:rsidR="009B45F0" w:rsidRPr="00B676A4" w:rsidRDefault="009B45F0" w:rsidP="009B45F0">
      <w:pPr>
        <w:spacing w:line="480" w:lineRule="exact"/>
        <w:ind w:firstLineChars="200" w:firstLine="480"/>
        <w:rPr>
          <w:sz w:val="24"/>
        </w:rPr>
      </w:pPr>
      <w:r w:rsidRPr="00B676A4">
        <w:rPr>
          <w:sz w:val="24"/>
        </w:rPr>
        <w:t>硕士研究生的课程学习在研究生院北京教学园区集中进行，期间遵循《中国科学院研究生院研究生课程集中教学管理规定》，完成基础理论和专门知识的学习。研究生修读的课程包括学位课和非学位课等。学位课是为达到培养目标要求，保证研究生培养质量而必须学习的课程，分为公共学位课和专业学位课两类。非学位课是为拓宽研究生知识面、完善知识结构或加深某方面知识而开设的课程。</w:t>
      </w:r>
    </w:p>
    <w:p w:rsidR="009B45F0" w:rsidRPr="00B676A4" w:rsidRDefault="009B45F0" w:rsidP="009B45F0">
      <w:pPr>
        <w:spacing w:line="480" w:lineRule="exact"/>
        <w:ind w:firstLineChars="149" w:firstLine="358"/>
        <w:rPr>
          <w:sz w:val="24"/>
        </w:rPr>
      </w:pPr>
      <w:r w:rsidRPr="00B676A4">
        <w:rPr>
          <w:sz w:val="24"/>
        </w:rPr>
        <w:t xml:space="preserve"> </w:t>
      </w:r>
      <w:r w:rsidRPr="00B676A4">
        <w:rPr>
          <w:sz w:val="24"/>
        </w:rPr>
        <w:t>硕士研究生申请硕士学位前，北京集中学习的课程总学分不低于</w:t>
      </w:r>
      <w:r w:rsidRPr="00B676A4">
        <w:rPr>
          <w:sz w:val="24"/>
        </w:rPr>
        <w:t>35</w:t>
      </w:r>
      <w:r w:rsidRPr="00B676A4">
        <w:rPr>
          <w:sz w:val="24"/>
        </w:rPr>
        <w:t>学分，其中学位课学分不低于</w:t>
      </w:r>
      <w:r w:rsidRPr="00B676A4">
        <w:rPr>
          <w:sz w:val="24"/>
        </w:rPr>
        <w:t>19</w:t>
      </w:r>
      <w:r w:rsidRPr="00B676A4">
        <w:rPr>
          <w:sz w:val="24"/>
        </w:rPr>
        <w:t>学分。其学位课程体系及学分要求遵循《中国科学院研究生院研究生课程集中教学管理规定》。</w:t>
      </w:r>
    </w:p>
    <w:p w:rsidR="009B45F0" w:rsidRPr="00B676A4" w:rsidRDefault="009B45F0" w:rsidP="009B45F0">
      <w:pPr>
        <w:spacing w:line="480" w:lineRule="exact"/>
        <w:ind w:firstLineChars="200" w:firstLine="480"/>
        <w:rPr>
          <w:sz w:val="24"/>
        </w:rPr>
      </w:pPr>
      <w:r w:rsidRPr="00B676A4">
        <w:rPr>
          <w:sz w:val="24"/>
        </w:rPr>
        <w:t>回所后，为使硕士研究生在较短时间内对本所主学科领域专业基础知识和领域前沿有一个相应的了解，还开设了《寒旱所特色专业课》，为必修课，</w:t>
      </w:r>
      <w:r w:rsidRPr="00B676A4">
        <w:rPr>
          <w:sz w:val="24"/>
        </w:rPr>
        <w:t>2</w:t>
      </w:r>
      <w:r w:rsidRPr="00B676A4">
        <w:rPr>
          <w:sz w:val="24"/>
        </w:rPr>
        <w:t>学分。</w:t>
      </w:r>
    </w:p>
    <w:p w:rsidR="009B45F0" w:rsidRPr="00B676A4" w:rsidRDefault="009B45F0" w:rsidP="009B45F0">
      <w:pPr>
        <w:pStyle w:val="m"/>
        <w:spacing w:beforeLines="50" w:before="156" w:afterLines="50" w:after="156"/>
        <w:rPr>
          <w:b/>
          <w:kern w:val="0"/>
        </w:rPr>
      </w:pPr>
      <w:r w:rsidRPr="00B676A4">
        <w:rPr>
          <w:b/>
          <w:kern w:val="0"/>
        </w:rPr>
        <w:t>五、必修环节及要求</w:t>
      </w:r>
    </w:p>
    <w:p w:rsidR="009B45F0" w:rsidRPr="00B676A4" w:rsidRDefault="009B45F0" w:rsidP="009B45F0">
      <w:pPr>
        <w:pStyle w:val="m"/>
        <w:ind w:firstLineChars="200" w:firstLine="480"/>
      </w:pPr>
      <w:r w:rsidRPr="00B676A4">
        <w:lastRenderedPageBreak/>
        <w:t>1</w:t>
      </w:r>
      <w:r w:rsidRPr="00B676A4">
        <w:t>、开题报告（</w:t>
      </w:r>
      <w:r w:rsidRPr="00B676A4">
        <w:t>1</w:t>
      </w:r>
      <w:r w:rsidRPr="00B676A4">
        <w:t>学分）</w:t>
      </w:r>
    </w:p>
    <w:p w:rsidR="009B45F0" w:rsidRPr="00B676A4" w:rsidRDefault="009B45F0" w:rsidP="009B45F0">
      <w:pPr>
        <w:pStyle w:val="m"/>
        <w:ind w:firstLineChars="200" w:firstLine="480"/>
      </w:pPr>
      <w:r w:rsidRPr="00B676A4">
        <w:t>研究生在广泛调查研究、阅读文献资料、搞清楚主攻方向上的前沿成果和发展动态的基础上，自己提出学位论文选题。选题应尽可能对学术发展、经济建设和社会进步有重要意义。就选题意义、前人相关成果、材料基础与实验条件、拟采取的理论与方法等方面作学位论文选题报告，尽可能广泛地听取专家意见。</w:t>
      </w:r>
    </w:p>
    <w:p w:rsidR="009B45F0" w:rsidRPr="00B676A4" w:rsidRDefault="009B45F0" w:rsidP="009B45F0">
      <w:pPr>
        <w:pStyle w:val="m"/>
        <w:ind w:firstLineChars="200" w:firstLine="480"/>
      </w:pPr>
      <w:r w:rsidRPr="00B676A4">
        <w:t>研究生应在规定的时间内，就选题的背景意义、国内外研究动态及发展趋势、主要研究内容、拟采取的技术路线及研究方法、预期成果、论文工作时间安排等方面，</w:t>
      </w:r>
      <w:r w:rsidRPr="00B676A4">
        <w:rPr>
          <w:bCs/>
        </w:rPr>
        <w:t>撰写《研究生学位论文开题报告》</w:t>
      </w:r>
      <w:r w:rsidRPr="00B676A4">
        <w:t>。导师和指导小组应严格把关。硕士研究生开题报告字数要求</w:t>
      </w:r>
      <w:r w:rsidRPr="00B676A4">
        <w:t>5000</w:t>
      </w:r>
      <w:r w:rsidRPr="00B676A4">
        <w:t>字以上。研究生</w:t>
      </w:r>
      <w:r w:rsidRPr="00B676A4">
        <w:rPr>
          <w:bCs/>
        </w:rPr>
        <w:t>填写《研究生学位论文开题报告登记表》，经导师同意后，方可进行开题报告</w:t>
      </w:r>
      <w:r w:rsidRPr="00B676A4">
        <w:t>。除涉密论文外，开题报告应公开进行。硕士研究生的开题报告答辩</w:t>
      </w:r>
      <w:r w:rsidRPr="00B676A4">
        <w:t>15</w:t>
      </w:r>
      <w:r w:rsidRPr="00B676A4">
        <w:t>分钟，专家提问</w:t>
      </w:r>
      <w:r w:rsidRPr="00B676A4">
        <w:t>5</w:t>
      </w:r>
      <w:r w:rsidRPr="00B676A4">
        <w:t>分钟。硕士研究生开题报告一般定在第二学年结束前完成。</w:t>
      </w:r>
    </w:p>
    <w:p w:rsidR="009B45F0" w:rsidRPr="00B676A4" w:rsidRDefault="009B45F0" w:rsidP="009B45F0">
      <w:pPr>
        <w:pStyle w:val="m"/>
        <w:ind w:firstLineChars="200" w:firstLine="480"/>
      </w:pPr>
      <w:r w:rsidRPr="00B676A4">
        <w:t>2</w:t>
      </w:r>
      <w:r w:rsidRPr="00B676A4">
        <w:t>、中期考核（</w:t>
      </w:r>
      <w:r w:rsidRPr="00B676A4">
        <w:t>2</w:t>
      </w:r>
      <w:r w:rsidRPr="00B676A4">
        <w:t>学分）</w:t>
      </w:r>
    </w:p>
    <w:p w:rsidR="009B45F0" w:rsidRPr="00B676A4" w:rsidRDefault="009B45F0" w:rsidP="009B45F0">
      <w:pPr>
        <w:pStyle w:val="m"/>
        <w:ind w:firstLineChars="200" w:firstLine="480"/>
        <w:rPr>
          <w:bCs/>
        </w:rPr>
      </w:pPr>
      <w:r w:rsidRPr="00B676A4">
        <w:t>中期考核主要考核研究生在培养期间论文工作进展情况、取得的阶段性成果、存在的主要问题、拟解决的途径、下一步工作计划及论文预计完成时间等。研究生需撰写《研究生学位论文中期报告》，硕士研究生中期报告字数要求</w:t>
      </w:r>
      <w:r w:rsidRPr="00B676A4">
        <w:t>8000</w:t>
      </w:r>
      <w:r w:rsidRPr="00B676A4">
        <w:t>字以上。研究生需填写</w:t>
      </w:r>
      <w:r w:rsidRPr="00B676A4">
        <w:rPr>
          <w:bCs/>
        </w:rPr>
        <w:t>《研究生学位论文中期考核登记表》，经导师审核同意后，方可进行中期考核。</w:t>
      </w:r>
    </w:p>
    <w:p w:rsidR="009B45F0" w:rsidRPr="00B676A4" w:rsidRDefault="009B45F0" w:rsidP="009B45F0">
      <w:pPr>
        <w:pStyle w:val="m"/>
        <w:ind w:firstLineChars="200" w:firstLine="480"/>
      </w:pPr>
      <w:r w:rsidRPr="00B676A4">
        <w:t>硕士研究生中期考核应在开题报告半年后至申请答辩半年前完成。除涉密论文外，中期考核应公开进行。</w:t>
      </w:r>
    </w:p>
    <w:p w:rsidR="009B45F0" w:rsidRPr="00B676A4" w:rsidRDefault="009B45F0" w:rsidP="009B45F0">
      <w:pPr>
        <w:pStyle w:val="m"/>
        <w:ind w:firstLineChars="200" w:firstLine="480"/>
      </w:pPr>
      <w:r w:rsidRPr="00B676A4">
        <w:t>为保证研究生培养质量，在中期考核环节采取集中考核，统一考核标准，实行相对比例的通过率。每年</w:t>
      </w:r>
      <w:r w:rsidRPr="00B676A4">
        <w:t>12</w:t>
      </w:r>
      <w:r w:rsidRPr="00B676A4">
        <w:t>月份研究生部统一组织，根据学生论文的研究方向对学生进行分组，考核小组由</w:t>
      </w:r>
      <w:r w:rsidRPr="00B676A4">
        <w:t>3-5</w:t>
      </w:r>
      <w:r w:rsidRPr="00B676A4">
        <w:t>位具有高级技术职称的研究人员组成，各组主席应为所学位评定委员会委员，考核小组名单需经所学位委员会审定。考核小组就学生的论文选题、文献综述、研究内容、研究方法与技术路线、报告的表述和报告写作等几个方面进行评分，满分</w:t>
      </w:r>
      <w:r w:rsidRPr="00B676A4">
        <w:t>100</w:t>
      </w:r>
      <w:r w:rsidRPr="00B676A4">
        <w:t>分。开题报告考核总分在</w:t>
      </w:r>
      <w:r w:rsidRPr="00B676A4">
        <w:t>80</w:t>
      </w:r>
      <w:r w:rsidRPr="00B676A4">
        <w:t>分以下的学生，需参加下一年度的集中考核。两次考核均在</w:t>
      </w:r>
      <w:r w:rsidRPr="00B676A4">
        <w:t>80</w:t>
      </w:r>
      <w:r w:rsidRPr="00B676A4">
        <w:t>分以下者，按照《中国科学院研究生院学生管理规定》进行分流，硕士研究生两次考核不合格应予退学。</w:t>
      </w:r>
    </w:p>
    <w:p w:rsidR="009B45F0" w:rsidRPr="00B676A4" w:rsidRDefault="009B45F0" w:rsidP="009B45F0">
      <w:pPr>
        <w:pStyle w:val="m"/>
        <w:ind w:firstLineChars="200" w:firstLine="480"/>
      </w:pPr>
      <w:r w:rsidRPr="00B676A4">
        <w:t>3</w:t>
      </w:r>
      <w:r w:rsidRPr="00B676A4">
        <w:t>、学术报告和社会实践（</w:t>
      </w:r>
      <w:r w:rsidRPr="00B676A4">
        <w:t>2</w:t>
      </w:r>
      <w:r w:rsidRPr="00B676A4">
        <w:t>学分）</w:t>
      </w:r>
    </w:p>
    <w:p w:rsidR="009B45F0" w:rsidRPr="00B676A4" w:rsidRDefault="009B45F0" w:rsidP="009B45F0">
      <w:pPr>
        <w:pStyle w:val="m"/>
        <w:ind w:firstLineChars="200" w:firstLine="480"/>
      </w:pPr>
      <w:r w:rsidRPr="00B676A4">
        <w:lastRenderedPageBreak/>
        <w:t>为了促使研究生能主动关心和了解国内外本学科前沿的发展动向，开阔视野，启发创造力。要求每个硕士研究生，在学期间应至少参加</w:t>
      </w:r>
      <w:r w:rsidRPr="00B676A4">
        <w:t>10</w:t>
      </w:r>
      <w:r w:rsidRPr="00B676A4">
        <w:t>次学术报告（包括至少</w:t>
      </w:r>
      <w:r w:rsidRPr="00B676A4">
        <w:t>1-2</w:t>
      </w:r>
      <w:r w:rsidRPr="00B676A4">
        <w:t>次本人做学术报告）。</w:t>
      </w:r>
    </w:p>
    <w:p w:rsidR="009B45F0" w:rsidRPr="00B676A4" w:rsidRDefault="009B45F0" w:rsidP="009B45F0">
      <w:pPr>
        <w:pStyle w:val="m"/>
        <w:ind w:firstLineChars="200" w:firstLine="480"/>
      </w:pPr>
      <w:r w:rsidRPr="00B676A4">
        <w:t>研究生完成科研课题的过程中，还须完成一定工作量的助研工作，或参加所内外组织的各类社会实践活动。参加学术报告和社会实践的情况均应记录在《研究生学术报告及社会实践表》中，申请答辩前由导师签字认可后提交研究生部备案，可取得</w:t>
      </w:r>
      <w:r w:rsidRPr="00B676A4">
        <w:rPr>
          <w:kern w:val="0"/>
        </w:rPr>
        <w:t>2</w:t>
      </w:r>
      <w:r w:rsidRPr="00B676A4">
        <w:t>学分。</w:t>
      </w:r>
    </w:p>
    <w:p w:rsidR="009B45F0" w:rsidRPr="00B676A4" w:rsidRDefault="009B45F0" w:rsidP="009B45F0">
      <w:pPr>
        <w:pStyle w:val="m"/>
        <w:spacing w:beforeLines="50" w:before="156" w:afterLines="50" w:after="156"/>
        <w:rPr>
          <w:b/>
          <w:kern w:val="0"/>
        </w:rPr>
      </w:pPr>
      <w:r w:rsidRPr="00B676A4">
        <w:rPr>
          <w:b/>
          <w:kern w:val="0"/>
        </w:rPr>
        <w:t>六、学位论文与科研成果要求</w:t>
      </w:r>
    </w:p>
    <w:p w:rsidR="009B45F0" w:rsidRPr="00B676A4" w:rsidRDefault="009B45F0" w:rsidP="009B45F0">
      <w:pPr>
        <w:spacing w:line="360" w:lineRule="auto"/>
        <w:ind w:firstLineChars="200" w:firstLine="480"/>
        <w:rPr>
          <w:sz w:val="24"/>
        </w:rPr>
      </w:pPr>
      <w:r w:rsidRPr="00B676A4">
        <w:rPr>
          <w:sz w:val="24"/>
        </w:rPr>
        <w:t>学位论文研究工作是对学生进行科学研究或承担专门技术工作的全面训练，是培养学生创新能力的重要环节。</w:t>
      </w:r>
      <w:r w:rsidRPr="00B676A4">
        <w:rPr>
          <w:kern w:val="0"/>
          <w:sz w:val="24"/>
        </w:rPr>
        <w:t>申请研究生学位论文答辩前，研究生</w:t>
      </w:r>
      <w:r w:rsidRPr="00B676A4">
        <w:rPr>
          <w:sz w:val="24"/>
        </w:rPr>
        <w:t>应在导师的指导下独立完成学位论文，不得造假，不得抄袭和剽窃他人成果。硕士研究生</w:t>
      </w:r>
      <w:r w:rsidRPr="00B676A4">
        <w:rPr>
          <w:kern w:val="0"/>
          <w:sz w:val="24"/>
        </w:rPr>
        <w:t>学位论文工作时间一般不应少于一年半。</w:t>
      </w:r>
    </w:p>
    <w:p w:rsidR="009B45F0" w:rsidRPr="00B676A4" w:rsidRDefault="009B45F0" w:rsidP="009B45F0">
      <w:pPr>
        <w:spacing w:line="360" w:lineRule="auto"/>
        <w:ind w:firstLineChars="200" w:firstLine="480"/>
        <w:rPr>
          <w:sz w:val="24"/>
        </w:rPr>
      </w:pPr>
      <w:r w:rsidRPr="00B676A4">
        <w:rPr>
          <w:sz w:val="24"/>
        </w:rPr>
        <w:t xml:space="preserve">研究生的学位论文应是系统的、完整的学术论文，学位论文撰写应符合《中国科学院研究生院学位论文撰写要求》。学生论文答辩的必要条件及程序按照《中国科学院研究生院学位授予工作细则》执行。研究生答辩前应达到的具体要求如下：　</w:t>
      </w:r>
    </w:p>
    <w:p w:rsidR="009B45F0" w:rsidRPr="00B676A4" w:rsidRDefault="009B45F0" w:rsidP="009B45F0">
      <w:pPr>
        <w:spacing w:line="360" w:lineRule="auto"/>
        <w:ind w:firstLineChars="200" w:firstLine="480"/>
        <w:rPr>
          <w:sz w:val="24"/>
        </w:rPr>
      </w:pPr>
      <w:r w:rsidRPr="00B676A4">
        <w:rPr>
          <w:kern w:val="0"/>
          <w:sz w:val="24"/>
        </w:rPr>
        <w:t>1</w:t>
      </w:r>
      <w:r w:rsidRPr="00B676A4">
        <w:rPr>
          <w:kern w:val="0"/>
          <w:sz w:val="24"/>
        </w:rPr>
        <w:t>、掌握本学科坚实的基础理论和系统的专业技术知识，</w:t>
      </w:r>
      <w:r w:rsidRPr="00B676A4">
        <w:rPr>
          <w:sz w:val="24"/>
        </w:rPr>
        <w:t>掌握本专业现代实验方法和技术，了解本学科发展现状和趋势，具有独立从事方向明确的应用研究和专门技术工作的能力。在导师的指导下，学位论文研究取得完整性或阶段性成果；</w:t>
      </w:r>
    </w:p>
    <w:p w:rsidR="009B45F0" w:rsidRPr="00B676A4" w:rsidRDefault="009B45F0" w:rsidP="009B45F0">
      <w:pPr>
        <w:spacing w:line="360" w:lineRule="auto"/>
        <w:ind w:firstLine="480"/>
        <w:rPr>
          <w:bCs/>
          <w:sz w:val="24"/>
        </w:rPr>
      </w:pPr>
      <w:r w:rsidRPr="00B676A4">
        <w:rPr>
          <w:kern w:val="0"/>
          <w:sz w:val="24"/>
        </w:rPr>
        <w:t>2</w:t>
      </w:r>
      <w:r w:rsidRPr="00B676A4">
        <w:rPr>
          <w:kern w:val="0"/>
          <w:sz w:val="24"/>
        </w:rPr>
        <w:t>、</w:t>
      </w:r>
      <w:r w:rsidRPr="00B676A4">
        <w:rPr>
          <w:bCs/>
          <w:sz w:val="24"/>
        </w:rPr>
        <w:t>完成所有课程学习及必修环节，达到相应学分要求；</w:t>
      </w:r>
    </w:p>
    <w:p w:rsidR="009B45F0" w:rsidRPr="00B676A4" w:rsidRDefault="009B45F0" w:rsidP="009B45F0">
      <w:pPr>
        <w:spacing w:line="360" w:lineRule="auto"/>
        <w:ind w:firstLine="480"/>
        <w:rPr>
          <w:bCs/>
          <w:sz w:val="24"/>
        </w:rPr>
      </w:pPr>
      <w:r w:rsidRPr="00B676A4">
        <w:rPr>
          <w:kern w:val="0"/>
          <w:sz w:val="24"/>
        </w:rPr>
        <w:t>3</w:t>
      </w:r>
      <w:r w:rsidRPr="00B676A4">
        <w:rPr>
          <w:kern w:val="0"/>
          <w:sz w:val="24"/>
        </w:rPr>
        <w:t>、</w:t>
      </w:r>
      <w:r w:rsidRPr="00B676A4">
        <w:rPr>
          <w:bCs/>
          <w:sz w:val="24"/>
        </w:rPr>
        <w:t>至少有</w:t>
      </w:r>
      <w:r w:rsidRPr="00B676A4">
        <w:rPr>
          <w:bCs/>
          <w:sz w:val="24"/>
        </w:rPr>
        <w:t>1</w:t>
      </w:r>
      <w:r w:rsidRPr="00B676A4">
        <w:rPr>
          <w:bCs/>
          <w:sz w:val="24"/>
        </w:rPr>
        <w:t>篇本人为第一作者、寒旱所为第一署名单位、且与学位论文有关的学术论文</w:t>
      </w:r>
      <w:r w:rsidRPr="00B676A4">
        <w:rPr>
          <w:sz w:val="24"/>
        </w:rPr>
        <w:t>公开发表（含已接受，</w:t>
      </w:r>
      <w:r w:rsidRPr="00B676A4">
        <w:rPr>
          <w:bCs/>
          <w:sz w:val="24"/>
        </w:rPr>
        <w:t>以刊物正式接收函为准</w:t>
      </w:r>
      <w:r w:rsidRPr="00B676A4">
        <w:rPr>
          <w:sz w:val="24"/>
        </w:rPr>
        <w:t>）</w:t>
      </w:r>
      <w:r w:rsidRPr="00B676A4">
        <w:rPr>
          <w:bCs/>
          <w:sz w:val="24"/>
        </w:rPr>
        <w:t>在国内外本专业有关的</w:t>
      </w:r>
      <w:r w:rsidRPr="00B676A4">
        <w:rPr>
          <w:bCs/>
          <w:sz w:val="24"/>
        </w:rPr>
        <w:t>CSCD</w:t>
      </w:r>
      <w:r w:rsidRPr="00B676A4">
        <w:rPr>
          <w:bCs/>
          <w:sz w:val="24"/>
        </w:rPr>
        <w:t>学术刊物或本所出版的正式刊物上。</w:t>
      </w:r>
    </w:p>
    <w:p w:rsidR="009B45F0" w:rsidRPr="00B676A4" w:rsidRDefault="009B45F0" w:rsidP="009B45F0">
      <w:pPr>
        <w:pStyle w:val="m"/>
        <w:spacing w:beforeLines="50" w:before="156" w:afterLines="50" w:after="156"/>
        <w:rPr>
          <w:b/>
          <w:kern w:val="0"/>
        </w:rPr>
      </w:pPr>
      <w:r w:rsidRPr="00B676A4">
        <w:rPr>
          <w:b/>
          <w:kern w:val="0"/>
        </w:rPr>
        <w:t>七、附则</w:t>
      </w:r>
    </w:p>
    <w:p w:rsidR="009B45F0" w:rsidRPr="00B676A4" w:rsidRDefault="009B45F0" w:rsidP="009B45F0">
      <w:pPr>
        <w:spacing w:line="360" w:lineRule="auto"/>
        <w:ind w:firstLineChars="200" w:firstLine="480"/>
        <w:rPr>
          <w:sz w:val="24"/>
        </w:rPr>
      </w:pPr>
      <w:r w:rsidRPr="00B676A4">
        <w:rPr>
          <w:sz w:val="24"/>
        </w:rPr>
        <w:t>1</w:t>
      </w:r>
      <w:r w:rsidRPr="00B676A4">
        <w:rPr>
          <w:sz w:val="24"/>
        </w:rPr>
        <w:t>、本培养方案经本所学位评定委员会通过，自</w:t>
      </w:r>
      <w:r w:rsidRPr="00B676A4">
        <w:rPr>
          <w:sz w:val="24"/>
        </w:rPr>
        <w:t>2010</w:t>
      </w:r>
      <w:r w:rsidRPr="00B676A4">
        <w:rPr>
          <w:sz w:val="24"/>
        </w:rPr>
        <w:t>年</w:t>
      </w:r>
      <w:r w:rsidRPr="00B676A4">
        <w:rPr>
          <w:sz w:val="24"/>
        </w:rPr>
        <w:t>1</w:t>
      </w:r>
      <w:r w:rsidRPr="00B676A4">
        <w:rPr>
          <w:sz w:val="24"/>
        </w:rPr>
        <w:t>月起执行。</w:t>
      </w:r>
    </w:p>
    <w:p w:rsidR="009B45F0" w:rsidRPr="00B676A4" w:rsidRDefault="009B45F0" w:rsidP="009B45F0">
      <w:pPr>
        <w:spacing w:line="360" w:lineRule="auto"/>
        <w:ind w:firstLineChars="196" w:firstLine="470"/>
        <w:rPr>
          <w:b/>
          <w:sz w:val="24"/>
        </w:rPr>
      </w:pPr>
      <w:r w:rsidRPr="00B676A4">
        <w:rPr>
          <w:sz w:val="24"/>
        </w:rPr>
        <w:t>2</w:t>
      </w:r>
      <w:r w:rsidRPr="00B676A4">
        <w:rPr>
          <w:sz w:val="24"/>
        </w:rPr>
        <w:t>、本培养方案未尽事宜，参阅教育部及中国科学院研究生院的相关规定，由所学位评定委员会会议讨论决定。</w:t>
      </w:r>
    </w:p>
    <w:p w:rsidR="006D028F" w:rsidRPr="009B45F0" w:rsidRDefault="006D028F">
      <w:bookmarkStart w:id="0" w:name="_GoBack"/>
      <w:bookmarkEnd w:id="0"/>
    </w:p>
    <w:sectPr w:rsidR="006D028F" w:rsidRPr="009B45F0" w:rsidSect="006F2FAA">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A4" w:rsidRDefault="009B45F0" w:rsidP="00AC15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676A4" w:rsidRDefault="009B45F0" w:rsidP="00BC2E7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A4" w:rsidRDefault="009B45F0" w:rsidP="00AC15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B676A4" w:rsidRDefault="009B45F0" w:rsidP="00BC2E7F">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A4" w:rsidRDefault="009B45F0">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A4" w:rsidRDefault="009B45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A4" w:rsidRDefault="009B45F0" w:rsidP="00B676A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A4" w:rsidRDefault="009B45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F0"/>
    <w:rsid w:val="006D028F"/>
    <w:rsid w:val="009B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_正文"/>
    <w:basedOn w:val="a"/>
    <w:link w:val="mChar"/>
    <w:rsid w:val="009B45F0"/>
    <w:pPr>
      <w:spacing w:line="360" w:lineRule="auto"/>
    </w:pPr>
    <w:rPr>
      <w:sz w:val="24"/>
    </w:rPr>
  </w:style>
  <w:style w:type="paragraph" w:styleId="a3">
    <w:name w:val="header"/>
    <w:basedOn w:val="a"/>
    <w:link w:val="Char"/>
    <w:rsid w:val="009B4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45F0"/>
    <w:rPr>
      <w:rFonts w:ascii="Times New Roman" w:eastAsia="宋体" w:hAnsi="Times New Roman" w:cs="Times New Roman"/>
      <w:sz w:val="18"/>
      <w:szCs w:val="18"/>
    </w:rPr>
  </w:style>
  <w:style w:type="paragraph" w:styleId="a4">
    <w:name w:val="footer"/>
    <w:basedOn w:val="a"/>
    <w:link w:val="Char0"/>
    <w:rsid w:val="009B45F0"/>
    <w:pPr>
      <w:tabs>
        <w:tab w:val="center" w:pos="4153"/>
        <w:tab w:val="right" w:pos="8306"/>
      </w:tabs>
      <w:snapToGrid w:val="0"/>
      <w:jc w:val="left"/>
    </w:pPr>
    <w:rPr>
      <w:sz w:val="18"/>
      <w:szCs w:val="18"/>
    </w:rPr>
  </w:style>
  <w:style w:type="character" w:customStyle="1" w:styleId="Char0">
    <w:name w:val="页脚 Char"/>
    <w:basedOn w:val="a0"/>
    <w:link w:val="a4"/>
    <w:rsid w:val="009B45F0"/>
    <w:rPr>
      <w:rFonts w:ascii="Times New Roman" w:eastAsia="宋体" w:hAnsi="Times New Roman" w:cs="Times New Roman"/>
      <w:sz w:val="18"/>
      <w:szCs w:val="18"/>
    </w:rPr>
  </w:style>
  <w:style w:type="character" w:customStyle="1" w:styleId="mChar">
    <w:name w:val="m_正文 Char"/>
    <w:basedOn w:val="a0"/>
    <w:link w:val="m"/>
    <w:rsid w:val="009B45F0"/>
    <w:rPr>
      <w:rFonts w:ascii="Times New Roman" w:eastAsia="宋体" w:hAnsi="Times New Roman" w:cs="Times New Roman"/>
      <w:sz w:val="24"/>
      <w:szCs w:val="24"/>
    </w:rPr>
  </w:style>
  <w:style w:type="character" w:styleId="a5">
    <w:name w:val="page number"/>
    <w:basedOn w:val="a0"/>
    <w:rsid w:val="009B4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_正文"/>
    <w:basedOn w:val="a"/>
    <w:link w:val="mChar"/>
    <w:rsid w:val="009B45F0"/>
    <w:pPr>
      <w:spacing w:line="360" w:lineRule="auto"/>
    </w:pPr>
    <w:rPr>
      <w:sz w:val="24"/>
    </w:rPr>
  </w:style>
  <w:style w:type="paragraph" w:styleId="a3">
    <w:name w:val="header"/>
    <w:basedOn w:val="a"/>
    <w:link w:val="Char"/>
    <w:rsid w:val="009B4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45F0"/>
    <w:rPr>
      <w:rFonts w:ascii="Times New Roman" w:eastAsia="宋体" w:hAnsi="Times New Roman" w:cs="Times New Roman"/>
      <w:sz w:val="18"/>
      <w:szCs w:val="18"/>
    </w:rPr>
  </w:style>
  <w:style w:type="paragraph" w:styleId="a4">
    <w:name w:val="footer"/>
    <w:basedOn w:val="a"/>
    <w:link w:val="Char0"/>
    <w:rsid w:val="009B45F0"/>
    <w:pPr>
      <w:tabs>
        <w:tab w:val="center" w:pos="4153"/>
        <w:tab w:val="right" w:pos="8306"/>
      </w:tabs>
      <w:snapToGrid w:val="0"/>
      <w:jc w:val="left"/>
    </w:pPr>
    <w:rPr>
      <w:sz w:val="18"/>
      <w:szCs w:val="18"/>
    </w:rPr>
  </w:style>
  <w:style w:type="character" w:customStyle="1" w:styleId="Char0">
    <w:name w:val="页脚 Char"/>
    <w:basedOn w:val="a0"/>
    <w:link w:val="a4"/>
    <w:rsid w:val="009B45F0"/>
    <w:rPr>
      <w:rFonts w:ascii="Times New Roman" w:eastAsia="宋体" w:hAnsi="Times New Roman" w:cs="Times New Roman"/>
      <w:sz w:val="18"/>
      <w:szCs w:val="18"/>
    </w:rPr>
  </w:style>
  <w:style w:type="character" w:customStyle="1" w:styleId="mChar">
    <w:name w:val="m_正文 Char"/>
    <w:basedOn w:val="a0"/>
    <w:link w:val="m"/>
    <w:rsid w:val="009B45F0"/>
    <w:rPr>
      <w:rFonts w:ascii="Times New Roman" w:eastAsia="宋体" w:hAnsi="Times New Roman" w:cs="Times New Roman"/>
      <w:sz w:val="24"/>
      <w:szCs w:val="24"/>
    </w:rPr>
  </w:style>
  <w:style w:type="character" w:styleId="a5">
    <w:name w:val="page number"/>
    <w:basedOn w:val="a0"/>
    <w:rsid w:val="009B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520</Words>
  <Characters>2964</Characters>
  <Application>Microsoft Office Word</Application>
  <DocSecurity>0</DocSecurity>
  <Lines>24</Lines>
  <Paragraphs>6</Paragraphs>
  <ScaleCrop>false</ScaleCrop>
  <Company>SkyUN.Org</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蔡英</dc:creator>
  <cp:lastModifiedBy>蔡英</cp:lastModifiedBy>
  <cp:revision>1</cp:revision>
  <dcterms:created xsi:type="dcterms:W3CDTF">2012-12-02T07:43:00Z</dcterms:created>
  <dcterms:modified xsi:type="dcterms:W3CDTF">2012-12-02T07:46:00Z</dcterms:modified>
</cp:coreProperties>
</file>